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Intestazione e piè di pagina A"/>
        <w:tabs>
          <w:tab w:val="right" w:pos="9612"/>
          <w:tab w:val="clear" w:pos="9632"/>
        </w:tabs>
        <w:jc w:val="center"/>
        <w:rPr>
          <w:rFonts w:ascii="Bank Gothic Light" w:cs="Bank Gothic Light" w:hAnsi="Bank Gothic Light" w:eastAsia="Bank Gothic Light"/>
          <w:outline w:val="0"/>
          <w:color w:val="000000"/>
          <w:sz w:val="52"/>
          <w:szCs w:val="5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Bank Gothic Light" w:hAnsi="Bank Gothic Light"/>
          <w:outline w:val="0"/>
          <w:color w:val="000000"/>
          <w:sz w:val="52"/>
          <w:szCs w:val="5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Rappresentanza Artistica</w:t>
      </w:r>
    </w:p>
    <w:p>
      <w:pPr>
        <w:pStyle w:val="Intestazione e piè di pagina A"/>
        <w:tabs>
          <w:tab w:val="right" w:pos="9612"/>
          <w:tab w:val="clear" w:pos="9632"/>
        </w:tabs>
        <w:jc w:val="center"/>
        <w:rPr>
          <w:rFonts w:ascii="Bank Gothic Light" w:cs="Bank Gothic Light" w:hAnsi="Bank Gothic Light" w:eastAsia="Bank Gothic Light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Bank Gothic Light" w:hAnsi="Bank Gothic Ligh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FABIO IELLINI </w:t>
      </w:r>
    </w:p>
    <w:p>
      <w:pPr>
        <w:pStyle w:val="Intestazione e piè di pagina A"/>
        <w:tabs>
          <w:tab w:val="right" w:pos="9612"/>
          <w:tab w:val="clear" w:pos="9632"/>
        </w:tabs>
        <w:jc w:val="center"/>
        <w:rPr>
          <w:rStyle w:val="Nessuno"/>
          <w:rFonts w:ascii="Bank Gothic Light" w:cs="Bank Gothic Light" w:hAnsi="Bank Gothic Light" w:eastAsia="Bank Gothic Light"/>
          <w:outline w:val="0"/>
          <w:color w:val="000000"/>
          <w:sz w:val="22"/>
          <w:szCs w:val="22"/>
          <w:u w:color="000000"/>
          <w:lang w:val="en-US"/>
          <w14:textFill>
            <w14:solidFill>
              <w14:srgbClr w14:val="000000"/>
            </w14:solidFill>
          </w14:textFill>
        </w:rPr>
      </w:pPr>
      <w:r>
        <w:rPr>
          <w:rStyle w:val="Hyperlink.0"/>
          <w:rFonts w:ascii="Bank Gothic Medium" w:cs="Bank Gothic Medium" w:hAnsi="Bank Gothic Medium" w:eastAsia="Bank Gothic Medium"/>
          <w:outline w:val="0"/>
          <w:color w:val="0000ff"/>
          <w:u w:val="single" w:color="0000ff"/>
          <w:lang w:val="en-US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rFonts w:ascii="Bank Gothic Medium" w:cs="Bank Gothic Medium" w:hAnsi="Bank Gothic Medium" w:eastAsia="Bank Gothic Medium"/>
          <w:outline w:val="0"/>
          <w:color w:val="0000ff"/>
          <w:u w:val="single" w:color="0000ff"/>
          <w:lang w:val="en-US"/>
          <w14:textFill>
            <w14:solidFill>
              <w14:srgbClr w14:val="0000FF"/>
            </w14:solidFill>
          </w14:textFill>
        </w:rPr>
        <w:instrText xml:space="preserve"> HYPERLINK "mailto:fabioiellini@fabioiellini.com"</w:instrText>
      </w:r>
      <w:r>
        <w:rPr>
          <w:rStyle w:val="Hyperlink.0"/>
          <w:rFonts w:ascii="Bank Gothic Medium" w:cs="Bank Gothic Medium" w:hAnsi="Bank Gothic Medium" w:eastAsia="Bank Gothic Medium"/>
          <w:outline w:val="0"/>
          <w:color w:val="0000ff"/>
          <w:u w:val="single" w:color="0000ff"/>
          <w:lang w:val="en-US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rFonts w:ascii="Bank Gothic Medium" w:hAnsi="Bank Gothic Medium"/>
          <w:outline w:val="0"/>
          <w:color w:val="0000ff"/>
          <w:u w:val="single" w:color="0000ff"/>
          <w:rtl w:val="0"/>
          <w:lang w:val="en-US"/>
          <w14:textFill>
            <w14:solidFill>
              <w14:srgbClr w14:val="0000FF"/>
            </w14:solidFill>
          </w14:textFill>
        </w:rPr>
        <w:t>fabioiellini@fabioiellini.com</w:t>
      </w:r>
      <w:r>
        <w:rPr>
          <w:lang w:val="en-US"/>
        </w:rPr>
        <w:fldChar w:fldCharType="end" w:fldLock="0"/>
      </w:r>
    </w:p>
    <w:p>
      <w:pPr>
        <w:pStyle w:val="Intestazione e piè di pagina A"/>
        <w:tabs>
          <w:tab w:val="right" w:pos="9612"/>
          <w:tab w:val="clear" w:pos="9632"/>
        </w:tabs>
        <w:jc w:val="center"/>
        <w:rPr>
          <w:rStyle w:val="Nessuno"/>
          <w:lang w:val="en-US"/>
        </w:rPr>
      </w:pPr>
      <w:r>
        <w:rPr>
          <w:rStyle w:val="Hyperlink.0"/>
          <w:rFonts w:ascii="Bank Gothic Medium" w:cs="Bank Gothic Medium" w:hAnsi="Bank Gothic Medium" w:eastAsia="Bank Gothic Medium"/>
          <w:outline w:val="0"/>
          <w:color w:val="0000ff"/>
          <w:u w:val="single" w:color="0000ff"/>
          <w:lang w:val="en-US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rFonts w:ascii="Bank Gothic Medium" w:cs="Bank Gothic Medium" w:hAnsi="Bank Gothic Medium" w:eastAsia="Bank Gothic Medium"/>
          <w:outline w:val="0"/>
          <w:color w:val="0000ff"/>
          <w:u w:val="single" w:color="0000ff"/>
          <w:lang w:val="en-US"/>
          <w14:textFill>
            <w14:solidFill>
              <w14:srgbClr w14:val="0000FF"/>
            </w14:solidFill>
          </w14:textFill>
        </w:rPr>
        <w:instrText xml:space="preserve"> HYPERLINK "http://fabioiellini.com"</w:instrText>
      </w:r>
      <w:r>
        <w:rPr>
          <w:rStyle w:val="Hyperlink.0"/>
          <w:rFonts w:ascii="Bank Gothic Medium" w:cs="Bank Gothic Medium" w:hAnsi="Bank Gothic Medium" w:eastAsia="Bank Gothic Medium"/>
          <w:outline w:val="0"/>
          <w:color w:val="0000ff"/>
          <w:u w:val="single" w:color="0000ff"/>
          <w:lang w:val="en-US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rFonts w:ascii="Bank Gothic Medium" w:hAnsi="Bank Gothic Medium"/>
          <w:outline w:val="0"/>
          <w:color w:val="0000ff"/>
          <w:u w:val="single" w:color="0000ff"/>
          <w:rtl w:val="0"/>
          <w:lang w:val="en-US"/>
          <w14:textFill>
            <w14:solidFill>
              <w14:srgbClr w14:val="0000FF"/>
            </w14:solidFill>
          </w14:textFill>
        </w:rPr>
        <w:t>fabioiellini.com</w:t>
      </w:r>
      <w:r>
        <w:rPr>
          <w:lang w:val="en-US"/>
        </w:rPr>
        <w:fldChar w:fldCharType="end" w:fldLock="0"/>
      </w:r>
    </w:p>
    <w:p>
      <w:pPr>
        <w:pStyle w:val="Corpo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</w:pPr>
    </w:p>
    <w:p>
      <w:pPr>
        <w:pStyle w:val="Corpo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</w:pPr>
    </w:p>
    <w:p>
      <w:pPr>
        <w:pStyle w:val="Corpo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</w:pPr>
    </w:p>
    <w:p>
      <w:pPr>
        <w:pStyle w:val="Corpo"/>
        <w:spacing w:after="60" w:line="276" w:lineRule="auto"/>
        <w:rPr>
          <w:rFonts w:ascii="Arial" w:cs="Arial" w:hAnsi="Arial" w:eastAsia="Arial"/>
          <w:sz w:val="20"/>
          <w:szCs w:val="20"/>
        </w:rPr>
      </w:pPr>
    </w:p>
    <w:p>
      <w:pPr>
        <w:pStyle w:val="Corpo"/>
        <w:spacing w:after="60" w:line="276" w:lineRule="auto"/>
        <w:rPr>
          <w:rFonts w:ascii="Arial" w:cs="Arial" w:hAnsi="Arial" w:eastAsia="Arial"/>
          <w:sz w:val="34"/>
          <w:szCs w:val="34"/>
        </w:rPr>
      </w:pPr>
      <w:r>
        <w:rPr>
          <w:rStyle w:val="Nessuno"/>
          <w:rFonts w:ascii="Arial" w:hAnsi="Arial"/>
          <w:b w:val="1"/>
          <w:bCs w:val="1"/>
          <w:sz w:val="34"/>
          <w:szCs w:val="34"/>
          <w:rtl w:val="0"/>
          <w:lang w:val="it-IT"/>
        </w:rPr>
        <w:t>SALVO BUCCAFUSCA</w:t>
      </w:r>
    </w:p>
    <w:p>
      <w:pPr>
        <w:pStyle w:val="Corpo"/>
        <w:spacing w:before="160" w:after="60" w:line="276" w:lineRule="auto"/>
        <w:rPr>
          <w:rStyle w:val="Nessuno"/>
          <w:rFonts w:ascii="Arial" w:cs="Arial" w:hAnsi="Arial" w:eastAsia="Arial"/>
          <w:sz w:val="20"/>
          <w:szCs w:val="20"/>
        </w:rPr>
      </w:pPr>
      <w:r>
        <w:rPr>
          <w:rStyle w:val="Nessuno"/>
          <w:rFonts w:ascii="Arial" w:hAnsi="Arial"/>
          <w:sz w:val="20"/>
          <w:szCs w:val="20"/>
          <w:rtl w:val="0"/>
          <w:lang w:val="de-DE"/>
        </w:rPr>
        <w:t>ALTEZZA: 185 CM</w:t>
      </w:r>
      <w:r>
        <w:rPr>
          <w:rStyle w:val="Nessuno"/>
          <w:rFonts w:ascii="Arial" w:cs="Arial" w:hAnsi="Arial" w:eastAsia="Arial"/>
          <w:sz w:val="20"/>
          <w:szCs w:val="20"/>
        </w:rPr>
        <w:br w:type="textWrapping"/>
      </w:r>
      <w:r>
        <w:rPr>
          <w:rStyle w:val="Nessuno"/>
          <w:rFonts w:ascii="Arial" w:hAnsi="Arial"/>
          <w:sz w:val="20"/>
          <w:szCs w:val="20"/>
          <w:rtl w:val="0"/>
          <w:lang w:val="es-ES_tradnl"/>
        </w:rPr>
        <w:t>CAPELLI: CASTANO GRIGIO</w:t>
      </w:r>
      <w:r>
        <w:rPr>
          <w:rStyle w:val="Nessuno"/>
          <w:rFonts w:ascii="Arial" w:cs="Arial" w:hAnsi="Arial" w:eastAsia="Arial"/>
          <w:sz w:val="20"/>
          <w:szCs w:val="20"/>
        </w:rPr>
        <w:br w:type="textWrapping"/>
      </w:r>
      <w:r>
        <w:rPr>
          <w:rStyle w:val="Nessuno"/>
          <w:rFonts w:ascii="Arial" w:hAnsi="Arial"/>
          <w:sz w:val="20"/>
          <w:szCs w:val="20"/>
          <w:rtl w:val="0"/>
          <w:lang w:val="de-DE"/>
        </w:rPr>
        <w:t>OCCHI: CASTANI</w:t>
      </w:r>
      <w:r>
        <w:rPr>
          <w:rStyle w:val="Nessuno"/>
          <w:rFonts w:ascii="Arial" w:cs="Arial" w:hAnsi="Arial" w:eastAsia="Arial"/>
          <w:sz w:val="20"/>
          <w:szCs w:val="20"/>
        </w:rPr>
        <w:br w:type="textWrapping"/>
      </w:r>
    </w:p>
    <w:p>
      <w:pPr>
        <w:pStyle w:val="Corpo"/>
        <w:spacing w:before="160" w:after="60" w:line="276" w:lineRule="auto"/>
        <w:rPr>
          <w:rFonts w:ascii="Arial" w:cs="Arial" w:hAnsi="Arial" w:eastAsia="Arial"/>
          <w:sz w:val="20"/>
          <w:szCs w:val="20"/>
        </w:rPr>
      </w:pPr>
      <w:r>
        <w:rPr>
          <w:rStyle w:val="Nessuno"/>
          <w:rFonts w:ascii="Arial" w:hAnsi="Arial"/>
          <w:b w:val="1"/>
          <w:bCs w:val="1"/>
          <w:sz w:val="22"/>
          <w:szCs w:val="22"/>
          <w:rtl w:val="0"/>
          <w:lang w:val="de-DE"/>
        </w:rPr>
        <w:t>FORMAZIONE</w:t>
      </w:r>
    </w:p>
    <w:p>
      <w:pPr>
        <w:pStyle w:val="Corpo"/>
        <w:spacing w:after="60" w:line="276" w:lineRule="auto"/>
        <w:rPr>
          <w:rFonts w:ascii="Arial" w:cs="Arial" w:hAnsi="Arial" w:eastAsia="Arial"/>
          <w:sz w:val="20"/>
          <w:szCs w:val="20"/>
        </w:rPr>
      </w:pPr>
      <w:r>
        <w:rPr>
          <w:rStyle w:val="Nessuno"/>
          <w:rFonts w:ascii="Arial" w:hAnsi="Arial"/>
          <w:b w:val="1"/>
          <w:bCs w:val="1"/>
          <w:sz w:val="20"/>
          <w:szCs w:val="20"/>
          <w:rtl w:val="0"/>
          <w:lang w:val="it-IT"/>
        </w:rPr>
        <w:t>Diplomi e percorsi di formazione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 w:hint="default"/>
          <w:sz w:val="20"/>
          <w:szCs w:val="20"/>
          <w:lang w:val="en-US"/>
        </w:rPr>
      </w:pP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ARTI SCENICHE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conseguito presso CENTRO STUDI LA RIBALTA (Enrico Maria Salerno).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 w:hint="default"/>
          <w:sz w:val="20"/>
          <w:szCs w:val="20"/>
          <w:lang w:val="en-US"/>
        </w:rPr>
      </w:pP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MASTER IN RECITAZIONE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conseguito presso CENTRO STUDI HOLTI LAMIANI (Caterina Venturini).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 w:hint="default"/>
          <w:sz w:val="20"/>
          <w:szCs w:val="20"/>
          <w:lang w:val="en-US"/>
        </w:rPr>
      </w:pP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MASTER RECITAZIONE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metodo Stanislaski con Margarita Smirnova.</w:t>
      </w:r>
    </w:p>
    <w:p>
      <w:pPr>
        <w:pStyle w:val="Corpo"/>
        <w:spacing w:before="200" w:after="80" w:line="276" w:lineRule="auto"/>
        <w:rPr>
          <w:rFonts w:ascii="Arial" w:cs="Arial" w:hAnsi="Arial" w:eastAsia="Arial"/>
          <w:sz w:val="20"/>
          <w:szCs w:val="20"/>
        </w:rPr>
      </w:pPr>
      <w:r>
        <w:rPr>
          <w:rStyle w:val="Nessuno"/>
          <w:rFonts w:ascii="Arial" w:hAnsi="Arial"/>
          <w:b w:val="1"/>
          <w:bCs w:val="1"/>
          <w:sz w:val="22"/>
          <w:szCs w:val="22"/>
          <w:rtl w:val="0"/>
          <w:lang w:val="de-DE"/>
        </w:rPr>
        <w:t>TEATRO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/>
          <w:sz w:val="20"/>
          <w:szCs w:val="20"/>
          <w:lang w:val="en-US"/>
        </w:rPr>
      </w:pP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2004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NATALE A CASA CUPIELLO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regia di Fabio Cavalli.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/>
          <w:sz w:val="20"/>
          <w:szCs w:val="20"/>
          <w:lang w:val="en-US"/>
        </w:rPr>
      </w:pP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2004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NAPOLI MILIONARIA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regia di Fabio Cavalli.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/>
          <w:sz w:val="20"/>
          <w:szCs w:val="20"/>
          <w:lang w:val="en-US"/>
        </w:rPr>
      </w:pP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2004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LA TEMPESTA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di William Shakespeare.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/>
          <w:sz w:val="20"/>
          <w:szCs w:val="20"/>
          <w:lang w:val="en-US"/>
        </w:rPr>
      </w:pP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2005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LA NOTTE DEI BRIGANTI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rievocazione storica (Alberobello).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/>
          <w:sz w:val="20"/>
          <w:szCs w:val="20"/>
          <w:lang w:val="en-US"/>
        </w:rPr>
      </w:pP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2006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LA FINE ALL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’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ALBA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regia di Elio Germano, Teatro Golden, Roma.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/>
          <w:sz w:val="20"/>
          <w:szCs w:val="20"/>
          <w:lang w:val="en-US"/>
        </w:rPr>
      </w:pP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2007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LA CASA DI BERNARDA ALBA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di Federico Garc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a Lorca, regia di Caterina Venturini, Teatro Vascello, Roma.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/>
          <w:sz w:val="20"/>
          <w:szCs w:val="20"/>
          <w:lang w:val="en-US"/>
        </w:rPr>
      </w:pP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2008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IL NEMICO DEL POPOLO DI IBSEN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regia di Gloris Brosca.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/>
          <w:sz w:val="20"/>
          <w:szCs w:val="20"/>
          <w:lang w:val="en-US"/>
        </w:rPr>
      </w:pP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2011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MEDITERRANEO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San Giorgio a Cremano, scritto e diretto da Antonio Turco, vincitore del premio TROISI 2011.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/>
          <w:sz w:val="20"/>
          <w:szCs w:val="20"/>
          <w:lang w:val="en-US"/>
        </w:rPr>
      </w:pP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2011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NASCETTE N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’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MIEZZO O MARE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Teatro Parioli di Roma e altre 24 citt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 xml:space="preserve">à 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ospitanti l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’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evento; vincitore della Palma dell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’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eccellenza a Tarquinia, ottobre 2011.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/>
          <w:sz w:val="20"/>
          <w:szCs w:val="20"/>
          <w:lang w:val="en-US"/>
        </w:rPr>
      </w:pP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2012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ALLE DUE I MONACI TORNANO IN CONVENTO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Teatro Parioli, Roma e 21 citt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 xml:space="preserve">à 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ospitanti l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’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evento; meritevole della Medaglia d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’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oro dal Presidente Napolitano.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/>
          <w:sz w:val="20"/>
          <w:szCs w:val="20"/>
          <w:lang w:val="en-US"/>
        </w:rPr>
      </w:pP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2013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19+1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scritto da Patrizio Pacioni e diretto da Antonio Turco, Teatro Golden, Roma e altre 26 citt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 xml:space="preserve">à 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ospitanti l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’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evento.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/>
          <w:sz w:val="20"/>
          <w:szCs w:val="20"/>
          <w:lang w:val="en-US"/>
        </w:rPr>
      </w:pP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2014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LA VERITA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 xml:space="preserve">’ 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NELL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’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OMBRA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scritto da Patrizio Piacioni e diretto da Antonio Turco; esordio nel cartellone ufficiale 2014/2015 del Centro Teatrale Bresciano. Teatro Golden, Roma e altre 21 citt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 xml:space="preserve">à 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ospitanti l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’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evento, tra cui lo storico vecchio tribunale di Viterbo, nel quale si celebr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 xml:space="preserve">ò 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il processo per la strage di Portella della Ginestra.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/>
          <w:sz w:val="20"/>
          <w:szCs w:val="20"/>
          <w:lang w:val="en-US"/>
        </w:rPr>
      </w:pP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2015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BORSELLINO E L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’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OLIFANTE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scritto da Patrizio Pacioni e diretto da Antonio Turco, Teatro Golden, Roma e altre 21 citt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 xml:space="preserve">à 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ospitanti l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’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evento.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/>
          <w:sz w:val="20"/>
          <w:szCs w:val="20"/>
          <w:lang w:val="en-US"/>
        </w:rPr>
      </w:pP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2016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BAZAR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scritto e diretto da Antonio Turco, Teatro Golden, Roma e altre 21 citt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 xml:space="preserve">à 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ospitanti l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’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evento.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/>
          <w:sz w:val="20"/>
          <w:szCs w:val="20"/>
          <w:lang w:val="en-US"/>
        </w:rPr>
      </w:pP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2017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AMORE BANDITO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scritto e diretto da Antonio Turco, Teatro Golden, Roma e altre 18 citt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 xml:space="preserve">à 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italiane.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/>
          <w:sz w:val="20"/>
          <w:szCs w:val="20"/>
          <w:lang w:val="en-US"/>
        </w:rPr>
      </w:pP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2018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CARMINE CROCCO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scritto e diretto da Antonio Turco, Teatro Golden, Roma e altre 20 citt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 xml:space="preserve">à 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italiane.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/>
          <w:sz w:val="20"/>
          <w:szCs w:val="20"/>
          <w:lang w:val="en-US"/>
        </w:rPr>
      </w:pP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2019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IL CORAGGIO DELLA LEGALITA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’”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scritto e diretto da Antonio Turco, Savona e altre 19 citt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 xml:space="preserve">à 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italiane.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/>
          <w:sz w:val="20"/>
          <w:szCs w:val="20"/>
          <w:lang w:val="en-US"/>
        </w:rPr>
      </w:pP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2019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A ROMA CE STAVA NA VOLTA NA BANDA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scritto da Salvo Buccafusca e Antonio Turco e diretto da Antonio Turco, Ostia e altre 11 citt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 xml:space="preserve">à 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italiane.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/>
          <w:sz w:val="20"/>
          <w:szCs w:val="20"/>
          <w:lang w:val="en-US"/>
        </w:rPr>
      </w:pP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2020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SUA ECCELLENZA.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 xml:space="preserve">È 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SERVITA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regia di Giancarlo Fares.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/>
          <w:sz w:val="20"/>
          <w:szCs w:val="20"/>
          <w:lang w:val="en-US"/>
        </w:rPr>
      </w:pP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2021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STASERA MI BUTTO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regia di Giancarlo Fares, circa 40 repliche in tutta Italia.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/>
          <w:sz w:val="20"/>
          <w:szCs w:val="20"/>
          <w:lang w:val="en-US"/>
        </w:rPr>
      </w:pP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2022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UN NATALE MOLTO INTIMO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regia di Margarita Smirnova, Teatro Petrolini, Roma.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/>
          <w:sz w:val="20"/>
          <w:szCs w:val="20"/>
          <w:lang w:val="en-US"/>
        </w:rPr>
      </w:pP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2022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DIVORZIO AL PEPERONCINO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regia di Margarita Smirnova, Teatro Petrolini, Roma.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/>
          <w:sz w:val="20"/>
          <w:szCs w:val="20"/>
          <w:lang w:val="en-US"/>
        </w:rPr>
      </w:pP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2023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ROMA CRIMINALE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regia di Francesco Sala.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/>
          <w:sz w:val="20"/>
          <w:szCs w:val="20"/>
          <w:lang w:val="en-US"/>
        </w:rPr>
      </w:pP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2024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UNA COME ME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regia di Francesco Branchetti; tourn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e ancora in corso, con oltre 50 repliche gi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 xml:space="preserve">à 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rappresentate.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/>
          <w:sz w:val="20"/>
          <w:szCs w:val="20"/>
          <w:lang w:val="en-US"/>
        </w:rPr>
      </w:pP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2025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BACCO, TABACCO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 xml:space="preserve">… 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E CENERE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, commedia scritta da Patrizio Pacioni per la regia di Claudio Insegno. La tourn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e, partita da Palermo dopo il successo di pubblico e critica della replica al Teatro Parioli-Costanzo, primo evento della nuova stagione teatrale, ha toccato numerosi impianti registrando spesso il tutto esaurito.</w:t>
      </w:r>
    </w:p>
    <w:p>
      <w:pPr>
        <w:pStyle w:val="Corpo"/>
        <w:spacing w:before="200" w:after="80" w:line="276" w:lineRule="auto"/>
        <w:rPr>
          <w:rFonts w:ascii="Arial" w:cs="Arial" w:hAnsi="Arial" w:eastAsia="Arial"/>
          <w:sz w:val="20"/>
          <w:szCs w:val="20"/>
        </w:rPr>
      </w:pPr>
      <w:r>
        <w:rPr>
          <w:rStyle w:val="Nessuno"/>
          <w:rFonts w:ascii="Arial" w:hAnsi="Arial"/>
          <w:b w:val="1"/>
          <w:bCs w:val="1"/>
          <w:sz w:val="22"/>
          <w:szCs w:val="22"/>
          <w:rtl w:val="0"/>
          <w:lang w:val="de-DE"/>
        </w:rPr>
        <w:t>CINEMA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 w:hint="default"/>
          <w:sz w:val="20"/>
          <w:szCs w:val="20"/>
          <w:lang w:val="en-US"/>
        </w:rPr>
      </w:pP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L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’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infiltrato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(regia di Fabio Vario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 xml:space="preserve">– 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2025).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 w:hint="default"/>
          <w:sz w:val="20"/>
          <w:szCs w:val="20"/>
          <w:lang w:val="en-US"/>
        </w:rPr>
      </w:pP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L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’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altra faccia della Magliana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(regia di Claudio Di Napoli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 xml:space="preserve">– 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2026)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 w:hint="default"/>
          <w:sz w:val="20"/>
          <w:szCs w:val="20"/>
          <w:lang w:val="en-US"/>
        </w:rPr>
      </w:pP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L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’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ultimo cuntu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, con Toni Sperandeo 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 xml:space="preserve">– 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2026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 xml:space="preserve"> -</w:t>
      </w:r>
      <w:r>
        <w:rPr>
          <w:rFonts w:ascii="Arial" w:hAnsi="Arial"/>
          <w:sz w:val="20"/>
          <w:szCs w:val="20"/>
          <w:rtl w:val="0"/>
          <w:lang w:val="en-US"/>
        </w:rPr>
        <w:t>cortometraggio</w:t>
      </w:r>
    </w:p>
    <w:p>
      <w:pPr>
        <w:pStyle w:val="Corpo"/>
        <w:spacing w:before="200" w:after="80" w:line="276" w:lineRule="auto"/>
        <w:rPr>
          <w:rFonts w:ascii="Arial" w:cs="Arial" w:hAnsi="Arial" w:eastAsia="Arial"/>
          <w:sz w:val="20"/>
          <w:szCs w:val="20"/>
        </w:rPr>
      </w:pPr>
      <w:r>
        <w:rPr>
          <w:rStyle w:val="Nessuno"/>
          <w:rFonts w:ascii="Arial" w:hAnsi="Arial"/>
          <w:b w:val="1"/>
          <w:bCs w:val="1"/>
          <w:sz w:val="22"/>
          <w:szCs w:val="22"/>
          <w:rtl w:val="0"/>
        </w:rPr>
        <w:t xml:space="preserve">PROGETTI TEATRALI </w:t>
      </w:r>
      <w:r>
        <w:rPr>
          <w:rStyle w:val="Nessuno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 xml:space="preserve">– </w:t>
      </w:r>
      <w:r>
        <w:rPr>
          <w:rStyle w:val="Nessuno"/>
          <w:rFonts w:ascii="Arial" w:hAnsi="Arial"/>
          <w:b w:val="1"/>
          <w:bCs w:val="1"/>
          <w:sz w:val="22"/>
          <w:szCs w:val="22"/>
          <w:rtl w:val="0"/>
        </w:rPr>
        <w:t>STAGIONE 2026/2027</w:t>
      </w:r>
    </w:p>
    <w:p>
      <w:pPr>
        <w:pStyle w:val="Corpo"/>
        <w:spacing w:after="60" w:line="276" w:lineRule="auto"/>
        <w:rPr>
          <w:rFonts w:ascii="Arial" w:cs="Arial" w:hAnsi="Arial" w:eastAsia="Arial"/>
          <w:sz w:val="20"/>
          <w:szCs w:val="20"/>
        </w:rPr>
      </w:pPr>
      <w:r>
        <w:rPr>
          <w:rStyle w:val="Nessuno A"/>
          <w:rFonts w:ascii="Arial" w:hAnsi="Arial"/>
          <w:sz w:val="20"/>
          <w:szCs w:val="20"/>
          <w:rtl w:val="0"/>
          <w:lang w:val="it-IT"/>
        </w:rPr>
        <w:t>Sono in corso di allestimento tre pi</w:t>
      </w:r>
      <w:r>
        <w:rPr>
          <w:rStyle w:val="Nessuno A"/>
          <w:rFonts w:ascii="Arial" w:hAnsi="Arial" w:hint="default"/>
          <w:sz w:val="20"/>
          <w:szCs w:val="20"/>
          <w:rtl w:val="0"/>
          <w:lang w:val="it-IT"/>
        </w:rPr>
        <w:t>è</w:t>
      </w:r>
      <w:r>
        <w:rPr>
          <w:rStyle w:val="Nessuno A"/>
          <w:rFonts w:ascii="Arial" w:hAnsi="Arial"/>
          <w:sz w:val="20"/>
          <w:szCs w:val="20"/>
          <w:rtl w:val="0"/>
          <w:lang w:val="it-IT"/>
        </w:rPr>
        <w:t xml:space="preserve">ce la cui rappresentazione </w:t>
      </w:r>
      <w:r>
        <w:rPr>
          <w:rStyle w:val="Nessuno A"/>
          <w:rFonts w:ascii="Arial" w:hAnsi="Arial" w:hint="default"/>
          <w:sz w:val="20"/>
          <w:szCs w:val="20"/>
          <w:rtl w:val="0"/>
          <w:lang w:val="it-IT"/>
        </w:rPr>
        <w:t xml:space="preserve">è </w:t>
      </w:r>
      <w:r>
        <w:rPr>
          <w:rStyle w:val="Nessuno A"/>
          <w:rFonts w:ascii="Arial" w:hAnsi="Arial"/>
          <w:sz w:val="20"/>
          <w:szCs w:val="20"/>
          <w:rtl w:val="0"/>
          <w:lang w:val="it-IT"/>
        </w:rPr>
        <w:t>in programma per la stagione 2026/2027: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 w:hint="default"/>
          <w:sz w:val="20"/>
          <w:szCs w:val="20"/>
          <w:lang w:val="en-US"/>
        </w:rPr>
      </w:pP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Nel blu dipinto di blu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(con Katia Ricciarelli, Diego Sanchez e Brigitta Boccoli).</w:t>
      </w:r>
    </w:p>
    <w:p>
      <w:pPr>
        <w:pStyle w:val="Corpo A"/>
        <w:numPr>
          <w:ilvl w:val="0"/>
          <w:numId w:val="2"/>
        </w:numPr>
        <w:spacing w:after="40" w:line="276" w:lineRule="auto"/>
        <w:rPr>
          <w:rFonts w:ascii="Arial" w:hAnsi="Arial" w:hint="default"/>
          <w:sz w:val="20"/>
          <w:szCs w:val="20"/>
          <w:lang w:val="en-US"/>
        </w:rPr>
      </w:pP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Il muro</w:t>
      </w:r>
      <w:r>
        <w:rPr>
          <w:rStyle w:val="Nessuno A"/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(ancora con Toni Sperandeo).</w:t>
      </w:r>
    </w:p>
    <w:p>
      <w:pPr>
        <w:pStyle w:val="Corpo"/>
        <w:spacing w:before="200" w:after="80" w:line="276" w:lineRule="auto"/>
        <w:rPr>
          <w:rFonts w:ascii="Arial" w:cs="Arial" w:hAnsi="Arial" w:eastAsia="Arial"/>
          <w:sz w:val="20"/>
          <w:szCs w:val="20"/>
        </w:rPr>
      </w:pPr>
      <w:r>
        <w:rPr>
          <w:rStyle w:val="Nessuno"/>
          <w:rFonts w:ascii="Arial" w:hAnsi="Arial"/>
          <w:b w:val="1"/>
          <w:bCs w:val="1"/>
          <w:sz w:val="22"/>
          <w:szCs w:val="22"/>
          <w:rtl w:val="0"/>
          <w:lang w:val="de-DE"/>
        </w:rPr>
        <w:t>REGIA</w:t>
      </w:r>
    </w:p>
    <w:p>
      <w:pPr>
        <w:pStyle w:val="Corpo"/>
        <w:spacing w:after="60" w:line="276" w:lineRule="auto"/>
      </w:pPr>
      <w:r>
        <w:rPr>
          <w:rStyle w:val="Nessuno A"/>
          <w:rFonts w:ascii="Arial" w:hAnsi="Arial"/>
          <w:sz w:val="20"/>
          <w:szCs w:val="20"/>
          <w:rtl w:val="0"/>
          <w:lang w:val="it-IT"/>
        </w:rPr>
        <w:t xml:space="preserve">Ha curato la regia del dramma di Patrizio Pacioni </w:t>
      </w:r>
      <w:r>
        <w:rPr>
          <w:rStyle w:val="Nessuno A"/>
          <w:rFonts w:ascii="Arial" w:hAnsi="Arial" w:hint="default"/>
          <w:sz w:val="20"/>
          <w:szCs w:val="20"/>
          <w:rtl w:val="1"/>
          <w:lang w:val="ar-SA" w:bidi="ar-SA"/>
        </w:rPr>
        <w:t>“</w:t>
      </w:r>
      <w:r>
        <w:rPr>
          <w:rStyle w:val="Nessuno A"/>
          <w:rFonts w:ascii="Arial" w:hAnsi="Arial"/>
          <w:sz w:val="20"/>
          <w:szCs w:val="20"/>
          <w:rtl w:val="0"/>
        </w:rPr>
        <w:t>L</w:t>
      </w:r>
      <w:r>
        <w:rPr>
          <w:rStyle w:val="Nessuno A"/>
          <w:rFonts w:ascii="Arial" w:hAnsi="Arial" w:hint="default"/>
          <w:sz w:val="20"/>
          <w:szCs w:val="20"/>
          <w:rtl w:val="1"/>
        </w:rPr>
        <w:t>’</w:t>
      </w:r>
      <w:r>
        <w:rPr>
          <w:rStyle w:val="Nessuno A"/>
          <w:rFonts w:ascii="Arial" w:hAnsi="Arial"/>
          <w:sz w:val="20"/>
          <w:szCs w:val="20"/>
          <w:rtl w:val="0"/>
          <w:lang w:val="de-DE"/>
        </w:rPr>
        <w:t>ERBORISTA</w:t>
      </w:r>
      <w:r>
        <w:rPr>
          <w:rStyle w:val="Nessuno A"/>
          <w:rFonts w:ascii="Arial" w:hAnsi="Arial" w:hint="default"/>
          <w:sz w:val="20"/>
          <w:szCs w:val="20"/>
          <w:rtl w:val="0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it-IT"/>
        </w:rPr>
        <w:t xml:space="preserve">, andato in scena al Teatro Parioli-Costanzo di Roma, e di </w:t>
      </w:r>
      <w:r>
        <w:rPr>
          <w:rStyle w:val="Nessuno A"/>
          <w:rFonts w:ascii="Arial" w:hAnsi="Arial" w:hint="default"/>
          <w:sz w:val="20"/>
          <w:szCs w:val="20"/>
          <w:rtl w:val="1"/>
          <w:lang w:val="ar-SA" w:bidi="ar-SA"/>
        </w:rPr>
        <w:t>“</w:t>
      </w:r>
      <w:r>
        <w:rPr>
          <w:rStyle w:val="Nessuno A"/>
          <w:rFonts w:ascii="Arial" w:hAnsi="Arial"/>
          <w:sz w:val="20"/>
          <w:szCs w:val="20"/>
          <w:rtl w:val="0"/>
          <w:lang w:val="en-US"/>
        </w:rPr>
        <w:t>IL CUORE OLTRE L</w:t>
      </w:r>
      <w:r>
        <w:rPr>
          <w:rStyle w:val="Nessuno A"/>
          <w:rFonts w:ascii="Arial" w:hAnsi="Arial" w:hint="default"/>
          <w:sz w:val="20"/>
          <w:szCs w:val="20"/>
          <w:rtl w:val="1"/>
        </w:rPr>
        <w:t>’</w:t>
      </w:r>
      <w:r>
        <w:rPr>
          <w:rStyle w:val="Nessuno A"/>
          <w:rFonts w:ascii="Arial" w:hAnsi="Arial"/>
          <w:sz w:val="20"/>
          <w:szCs w:val="20"/>
          <w:rtl w:val="0"/>
        </w:rPr>
        <w:t>OSTACOLO</w:t>
      </w:r>
      <w:r>
        <w:rPr>
          <w:rStyle w:val="Nessuno A"/>
          <w:rFonts w:ascii="Arial" w:hAnsi="Arial" w:hint="default"/>
          <w:sz w:val="20"/>
          <w:szCs w:val="20"/>
          <w:rtl w:val="0"/>
        </w:rPr>
        <w:t>”</w:t>
      </w:r>
      <w:r>
        <w:rPr>
          <w:rStyle w:val="Nessuno A"/>
          <w:rFonts w:ascii="Arial" w:hAnsi="Arial"/>
          <w:sz w:val="20"/>
          <w:szCs w:val="20"/>
          <w:rtl w:val="0"/>
          <w:lang w:val="it-IT"/>
        </w:rPr>
        <w:t>, pi</w:t>
      </w:r>
      <w:r>
        <w:rPr>
          <w:rStyle w:val="Nessuno A"/>
          <w:rFonts w:ascii="Arial" w:hAnsi="Arial" w:hint="default"/>
          <w:sz w:val="20"/>
          <w:szCs w:val="20"/>
          <w:rtl w:val="0"/>
          <w:lang w:val="it-IT"/>
        </w:rPr>
        <w:t>è</w:t>
      </w:r>
      <w:r>
        <w:rPr>
          <w:rStyle w:val="Nessuno A"/>
          <w:rFonts w:ascii="Arial" w:hAnsi="Arial"/>
          <w:sz w:val="20"/>
          <w:szCs w:val="20"/>
          <w:rtl w:val="0"/>
          <w:lang w:val="it-IT"/>
        </w:rPr>
        <w:t>ce scritta dallo stesso Pacioni su mandato della Croce Rossa Italiana, che ha debuttato con il fattivo coinvolgimento del Centro Teatrale Bresciano (e con clamoroso successo) al modernissimo e prestigioso Teatro Renato Borsoni di Brescia.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Bank Gothic Light">
    <w:charset w:val="00"/>
    <w:family w:val="roman"/>
    <w:pitch w:val="default"/>
  </w:font>
  <w:font w:name="Bank Gothic Medium">
    <w:charset w:val="00"/>
    <w:family w:val="roman"/>
    <w:pitch w:val="default"/>
  </w:font>
  <w:font w:name="Lucida Grand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tabs>
        <w:tab w:val="center" w:pos="4819"/>
        <w:tab w:val="right" w:pos="9612"/>
        <w:tab w:val="clear" w:pos="9020"/>
      </w:tabs>
      <w:rPr>
        <w:sz w:val="20"/>
        <w:szCs w:val="20"/>
        <w:u w:color="000000"/>
      </w:rPr>
    </w:pPr>
    <w:r>
      <w:rPr>
        <w:sz w:val="20"/>
        <w:szCs w:val="20"/>
        <w:u w:color="000000"/>
        <w:lang w:val="it-IT"/>
      </w:rPr>
      <w:tab/>
    </w:r>
    <w:r>
      <w:rPr>
        <w:rFonts w:ascii="Bank Gothic Light" w:hAnsi="Bank Gothic Light"/>
        <w:outline w:val="0"/>
        <w:color w:val="0c0c0c"/>
        <w:sz w:val="18"/>
        <w:szCs w:val="18"/>
        <w:u w:color="0c0c0c"/>
        <w:rtl w:val="0"/>
        <w:lang w:val="it-IT"/>
        <w14:textFill>
          <w14:solidFill>
            <w14:srgbClr w14:val="0C0C0C"/>
          </w14:solidFill>
        </w14:textFill>
      </w:rPr>
      <w:t xml:space="preserve">Rappresentanza Artistica  </w:t>
    </w:r>
  </w:p>
  <w:p>
    <w:pPr>
      <w:pStyle w:val="Intestazione e piè di pagina"/>
      <w:tabs>
        <w:tab w:val="center" w:pos="4819"/>
        <w:tab w:val="right" w:pos="9612"/>
        <w:tab w:val="clear" w:pos="9020"/>
      </w:tabs>
      <w:rPr>
        <w:sz w:val="20"/>
        <w:szCs w:val="20"/>
        <w:u w:color="000000"/>
      </w:rPr>
    </w:pPr>
    <w:r>
      <w:rPr>
        <w:sz w:val="20"/>
        <w:szCs w:val="20"/>
        <w:u w:color="000000"/>
        <w:lang w:val="it-IT"/>
      </w:rPr>
      <w:tab/>
    </w:r>
    <w:r>
      <w:rPr>
        <w:rFonts w:ascii="Bank Gothic Light" w:hAnsi="Bank Gothic Light"/>
        <w:outline w:val="0"/>
        <w:color w:val="0c0c0c"/>
        <w:sz w:val="18"/>
        <w:szCs w:val="18"/>
        <w:u w:color="0c0c0c"/>
        <w:rtl w:val="0"/>
        <w:lang w:val="it-IT"/>
        <w14:textFill>
          <w14:solidFill>
            <w14:srgbClr w14:val="0C0C0C"/>
          </w14:solidFill>
        </w14:textFill>
      </w:rPr>
      <w:t xml:space="preserve">Fabio Iellini 393. 9873005 </w:t>
    </w:r>
  </w:p>
  <w:p>
    <w:pPr>
      <w:pStyle w:val="Intestazione e piè di pagina"/>
      <w:tabs>
        <w:tab w:val="center" w:pos="4819"/>
        <w:tab w:val="right" w:pos="9612"/>
        <w:tab w:val="clear" w:pos="9020"/>
      </w:tabs>
      <w:rPr>
        <w:sz w:val="20"/>
        <w:szCs w:val="20"/>
        <w:u w:color="000000"/>
      </w:rPr>
    </w:pPr>
    <w:r>
      <w:rPr>
        <w:sz w:val="20"/>
        <w:szCs w:val="20"/>
        <w:u w:color="000000"/>
        <w:lang w:val="it-IT"/>
      </w:rPr>
      <w:tab/>
    </w:r>
    <w:r>
      <w:rPr>
        <w:rFonts w:ascii="Bank Gothic Light" w:hAnsi="Bank Gothic Light"/>
        <w:outline w:val="0"/>
        <w:color w:val="0c0c0c"/>
        <w:sz w:val="18"/>
        <w:szCs w:val="18"/>
        <w:u w:color="0c0c0c"/>
        <w:rtl w:val="0"/>
        <w:lang w:val="it-IT"/>
        <w14:textFill>
          <w14:solidFill>
            <w14:srgbClr w14:val="0C0C0C"/>
          </w14:solidFill>
        </w14:textFill>
      </w:rPr>
      <w:t xml:space="preserve">CF:LLNFBA75C15F205A  </w:t>
    </w:r>
  </w:p>
  <w:p>
    <w:pPr>
      <w:pStyle w:val="Intestazione e piè di pagina"/>
      <w:tabs>
        <w:tab w:val="center" w:pos="4819"/>
        <w:tab w:val="right" w:pos="9612"/>
        <w:tab w:val="clear" w:pos="9020"/>
      </w:tabs>
    </w:pPr>
    <w:r>
      <w:rPr>
        <w:sz w:val="20"/>
        <w:szCs w:val="20"/>
        <w:u w:color="000000"/>
        <w:lang w:val="it-IT"/>
      </w:rPr>
      <w:tab/>
    </w:r>
    <w:r>
      <w:rPr>
        <w:rFonts w:ascii="Bank Gothic Light" w:hAnsi="Bank Gothic Light"/>
        <w:outline w:val="0"/>
        <w:color w:val="0c0c0c"/>
        <w:sz w:val="18"/>
        <w:szCs w:val="18"/>
        <w:u w:color="0c0c0c"/>
        <w:rtl w:val="0"/>
        <w:lang w:val="it-IT"/>
        <w14:textFill>
          <w14:solidFill>
            <w14:srgbClr w14:val="0C0C0C"/>
          </w14:solidFill>
        </w14:textFill>
      </w:rPr>
      <w:t xml:space="preserve">P.IVA: 11302921009 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·"/>
      <w:lvlJc w:val="left"/>
      <w:pPr>
        <w:tabs>
          <w:tab w:val="left" w:pos="360"/>
        </w:tabs>
        <w:ind w:left="317" w:hanging="21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360"/>
        </w:tabs>
        <w:ind w:left="317" w:hanging="21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360"/>
        </w:tabs>
        <w:ind w:left="317" w:hanging="21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360"/>
        </w:tabs>
        <w:ind w:left="317" w:hanging="21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360"/>
        </w:tabs>
        <w:ind w:left="317" w:hanging="21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360"/>
        </w:tabs>
        <w:ind w:left="317" w:hanging="21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360"/>
        </w:tabs>
        <w:ind w:left="317" w:hanging="21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360"/>
        </w:tabs>
        <w:ind w:left="317" w:hanging="21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360"/>
        </w:tabs>
        <w:ind w:left="317" w:hanging="21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Intestazione e piè di pagina A">
    <w:name w:val="Intestazione e piè di pagina A"/>
    <w:next w:val="Intestazione e piè di pagina A"/>
    <w:pPr>
      <w:keepNext w:val="0"/>
      <w:keepLines w:val="0"/>
      <w:pageBreakBefore w:val="0"/>
      <w:widowControl w:val="1"/>
      <w:shd w:val="clear" w:color="auto" w:fill="auto"/>
      <w:tabs>
        <w:tab w:val="right" w:pos="963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Bank Gothic Medium" w:cs="Bank Gothic Medium" w:hAnsi="Bank Gothic Medium" w:eastAsia="Bank Gothic Medium"/>
      <w:outline w:val="0"/>
      <w:color w:val="0000ff"/>
      <w:u w:val="single" w:color="0000ff"/>
      <w:lang w:val="en-US"/>
      <w14:textFill>
        <w14:solidFill>
          <w14:srgbClr w14:val="0000FF"/>
        </w14:solidFill>
      </w14:textFill>
    </w:rPr>
  </w:style>
  <w:style w:type="paragraph" w:styleId="Corpo B">
    <w:name w:val="Corpo B"/>
    <w:next w:val="Corpo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Lucida Grande" w:cs="Lucida Grande" w:hAnsi="Lucida Grande" w:eastAsia="Lucida Grand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character" w:styleId="Nessuno A">
    <w:name w:val="Nessuno A"/>
    <w:rPr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